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A6B18" w14:textId="11587436" w:rsidR="00265711" w:rsidRDefault="00265711" w:rsidP="00265711">
      <w:pPr>
        <w:pStyle w:val="Akapitzlist"/>
        <w:spacing w:after="180" w:line="276" w:lineRule="auto"/>
        <w:ind w:left="720"/>
        <w:jc w:val="right"/>
        <w:rPr>
          <w:sz w:val="24"/>
          <w:szCs w:val="24"/>
        </w:rPr>
      </w:pPr>
      <w:r>
        <w:rPr>
          <w:sz w:val="24"/>
          <w:szCs w:val="24"/>
        </w:rPr>
        <w:t>Łódź. Dnia 03.09.2026 r.</w:t>
      </w:r>
    </w:p>
    <w:p w14:paraId="2B259B1D" w14:textId="670E3E57" w:rsidR="00265711" w:rsidRDefault="00265711" w:rsidP="00265711">
      <w:pPr>
        <w:pStyle w:val="Akapitzlist"/>
        <w:spacing w:after="180" w:line="276" w:lineRule="auto"/>
        <w:ind w:left="720"/>
        <w:rPr>
          <w:sz w:val="24"/>
          <w:szCs w:val="24"/>
        </w:rPr>
      </w:pPr>
      <w:r w:rsidRPr="00265711">
        <w:rPr>
          <w:sz w:val="24"/>
          <w:szCs w:val="24"/>
        </w:rPr>
        <w:t>DIGM.450.0</w:t>
      </w:r>
      <w:r>
        <w:rPr>
          <w:sz w:val="24"/>
          <w:szCs w:val="24"/>
        </w:rPr>
        <w:t>8</w:t>
      </w:r>
      <w:r w:rsidRPr="00265711">
        <w:rPr>
          <w:sz w:val="24"/>
          <w:szCs w:val="24"/>
        </w:rPr>
        <w:t>.2026.RW</w:t>
      </w:r>
    </w:p>
    <w:p w14:paraId="41D6C9EF" w14:textId="77777777" w:rsidR="00265711" w:rsidRDefault="00265711" w:rsidP="00265711">
      <w:pPr>
        <w:pStyle w:val="Akapitzlist"/>
        <w:spacing w:after="180" w:line="276" w:lineRule="auto"/>
        <w:ind w:left="720"/>
        <w:jc w:val="center"/>
        <w:rPr>
          <w:sz w:val="24"/>
          <w:szCs w:val="24"/>
        </w:rPr>
      </w:pPr>
    </w:p>
    <w:p w14:paraId="318E8A5C" w14:textId="5CBC60B4" w:rsidR="00265711" w:rsidRPr="00265711" w:rsidRDefault="00265711" w:rsidP="00265711">
      <w:pPr>
        <w:pStyle w:val="Akapitzlist"/>
        <w:spacing w:after="180" w:line="276" w:lineRule="auto"/>
        <w:ind w:left="720"/>
        <w:jc w:val="center"/>
        <w:rPr>
          <w:b/>
          <w:bCs/>
          <w:sz w:val="24"/>
          <w:szCs w:val="24"/>
        </w:rPr>
      </w:pPr>
      <w:r w:rsidRPr="00265711">
        <w:rPr>
          <w:b/>
          <w:bCs/>
          <w:sz w:val="24"/>
          <w:szCs w:val="24"/>
        </w:rPr>
        <w:t>POWIADOMIENIE NR 1 DO ZAPYTANIA OFERTOWEGO ZNAK</w:t>
      </w:r>
      <w:r w:rsidRPr="00265711">
        <w:rPr>
          <w:b/>
          <w:bCs/>
          <w:sz w:val="24"/>
          <w:szCs w:val="24"/>
        </w:rPr>
        <w:t xml:space="preserve"> </w:t>
      </w:r>
      <w:r w:rsidRPr="00265711">
        <w:rPr>
          <w:b/>
          <w:bCs/>
          <w:sz w:val="24"/>
          <w:szCs w:val="24"/>
        </w:rPr>
        <w:t>DIGM.450.05.2026.RW</w:t>
      </w:r>
    </w:p>
    <w:p w14:paraId="6F162A11" w14:textId="77777777" w:rsidR="00265711" w:rsidRPr="00265711" w:rsidRDefault="00265711" w:rsidP="00265711">
      <w:pPr>
        <w:pStyle w:val="Akapitzlist"/>
        <w:spacing w:after="180" w:line="276" w:lineRule="auto"/>
        <w:ind w:left="720"/>
        <w:jc w:val="center"/>
        <w:rPr>
          <w:sz w:val="24"/>
          <w:szCs w:val="24"/>
        </w:rPr>
      </w:pPr>
    </w:p>
    <w:p w14:paraId="063041D0" w14:textId="1EC974B2" w:rsidR="00692B9F" w:rsidRDefault="003F4ED5" w:rsidP="00265711">
      <w:pPr>
        <w:pStyle w:val="Akapitzlist"/>
        <w:numPr>
          <w:ilvl w:val="0"/>
          <w:numId w:val="5"/>
        </w:numPr>
        <w:spacing w:after="180" w:line="276" w:lineRule="auto"/>
        <w:jc w:val="both"/>
      </w:pPr>
      <w:r w:rsidRPr="00E52913">
        <w:rPr>
          <w:b/>
          <w:bCs/>
        </w:rPr>
        <w:t xml:space="preserve">Zakres prawny (SPZ pkt 4.8) — </w:t>
      </w:r>
      <w:r>
        <w:t>Czy w ramach ceny wymagane jest sporządzenie wykonalnych dokumentów korporacyjnych (umowa spółki celowej, umowa inwestycyjna / SHA, regulaminy organów), czy wyłącznie „założenia i rekomendacje” do tych dokumentów? Sformułowania SPZ są w tym zakresie niejednoznaczne.</w:t>
      </w:r>
    </w:p>
    <w:p w14:paraId="3FAB904F" w14:textId="3C95B501" w:rsidR="0023657A" w:rsidRDefault="0023657A" w:rsidP="00265711">
      <w:pPr>
        <w:pStyle w:val="Akapitzlist"/>
        <w:spacing w:after="180" w:line="276" w:lineRule="auto"/>
        <w:ind w:left="720"/>
        <w:jc w:val="both"/>
      </w:pPr>
      <w:r w:rsidRPr="00265711">
        <w:rPr>
          <w:b/>
          <w:bCs/>
        </w:rPr>
        <w:t>Odpowiedź</w:t>
      </w:r>
      <w:r w:rsidRPr="00265711">
        <w:rPr>
          <w:b/>
          <w:bCs/>
        </w:rPr>
        <w:t>:</w:t>
      </w:r>
      <w:r w:rsidRPr="0023657A">
        <w:rPr>
          <w:rFonts w:ascii="Segoe UI" w:eastAsia="Times New Roman" w:hAnsi="Segoe UI" w:cs="Segoe UI"/>
          <w:sz w:val="21"/>
          <w:szCs w:val="21"/>
        </w:rPr>
        <w:t xml:space="preserve"> </w:t>
      </w:r>
      <w:r w:rsidRPr="0023657A">
        <w:t>W ramach wynagrodzenia wymagane jest sporządzenie założeń i rekomendacji do dokumentów korporacyjnych. Zamawiający nie wymaga opracowania gotowych projektów dokumentów korporacyjnych, takich jak umowa spółki celowej, umowa inwestycyjna (SHA) czy regulaminy organów</w:t>
      </w:r>
    </w:p>
    <w:p w14:paraId="063041D1" w14:textId="032F6FE0" w:rsidR="00692B9F" w:rsidRDefault="003F4ED5" w:rsidP="00265711">
      <w:pPr>
        <w:pStyle w:val="Akapitzlist"/>
        <w:numPr>
          <w:ilvl w:val="0"/>
          <w:numId w:val="5"/>
        </w:numPr>
        <w:spacing w:after="180" w:line="276" w:lineRule="auto"/>
        <w:jc w:val="both"/>
      </w:pPr>
      <w:r w:rsidRPr="00E52913">
        <w:rPr>
          <w:b/>
          <w:bCs/>
        </w:rPr>
        <w:t xml:space="preserve">TPI / pomoc publiczna (SPZ pkt 2.1.c) — </w:t>
      </w:r>
      <w:r>
        <w:t xml:space="preserve">Czy przedmiot obejmuje wyłącznie finansowe wykazanie rynkowości zaangażowania w ramach modelu (IRR/NPV z perspektywy ŁSSE na </w:t>
      </w:r>
      <w:proofErr w:type="spellStart"/>
      <w:r>
        <w:t>zbenchmarkowanych</w:t>
      </w:r>
      <w:proofErr w:type="spellEnd"/>
      <w:r>
        <w:t xml:space="preserve"> parametrach), czy również odrębną, formalną opinię prawną z zakresu pomocy publicznej (kwalifikacja w rozumieniu art. 107 ust. 1 TFUE wraz z oceną obowiązku notyfikacji)?</w:t>
      </w:r>
    </w:p>
    <w:p w14:paraId="54CBBA07" w14:textId="48867D8D" w:rsidR="0023657A" w:rsidRDefault="0023657A" w:rsidP="00265711">
      <w:pPr>
        <w:pStyle w:val="Akapitzlist"/>
        <w:spacing w:after="180" w:line="276" w:lineRule="auto"/>
        <w:ind w:left="720"/>
        <w:jc w:val="both"/>
      </w:pPr>
      <w:r w:rsidRPr="00265711">
        <w:rPr>
          <w:b/>
          <w:bCs/>
        </w:rPr>
        <w:t>Odpowiedź:</w:t>
      </w:r>
      <w:r>
        <w:t xml:space="preserve"> </w:t>
      </w:r>
      <w:r w:rsidRPr="0023657A">
        <w:t>Przedmiot zamówienia obejmuje analizę i wykazanie rynkowego charakteru planowanego zaangażowania ŁSSE, w tym z wykorzystaniem odpowiednich parametrów finansowych i benchmarków rynkowych. Zamawiający nie wymaga sporządzenia odrębnej formalnej opinii prawnej dotyczącej pomocy publicznej, kwalifikacji w rozumieniu art. 107 ust. 1 TFUE ani obowiązku notyfikacji.</w:t>
      </w:r>
    </w:p>
    <w:p w14:paraId="063041D2" w14:textId="3813DDFC" w:rsidR="00692B9F" w:rsidRDefault="003F4ED5" w:rsidP="00265711">
      <w:pPr>
        <w:pStyle w:val="Akapitzlist"/>
        <w:numPr>
          <w:ilvl w:val="0"/>
          <w:numId w:val="5"/>
        </w:numPr>
        <w:spacing w:after="80" w:line="276" w:lineRule="auto"/>
        <w:jc w:val="both"/>
      </w:pPr>
      <w:r w:rsidRPr="00E52913">
        <w:rPr>
          <w:b/>
          <w:bCs/>
        </w:rPr>
        <w:t xml:space="preserve">ESG / zielone finansowanie (SPZ pkt 4.9.f) — </w:t>
      </w:r>
      <w:r>
        <w:t xml:space="preserve">Jaki poziom analizy ESG jest oczekiwany — ujęcie kontekstowe pod wymogi instytucji </w:t>
      </w:r>
      <w:proofErr w:type="gramStart"/>
      <w:r>
        <w:t>finansujących,</w:t>
      </w:r>
      <w:proofErr w:type="gramEnd"/>
      <w:r>
        <w:t xml:space="preserve"> czy pełna ocena zgodności z Taksonomią UE? W szczególności, w nawiązaniu do analizy możliwości pozyskania zielonego finansowania, czy wymagane są:</w:t>
      </w:r>
    </w:p>
    <w:p w14:paraId="063041D3" w14:textId="42E44FBA" w:rsidR="00692B9F" w:rsidRPr="00BA217B" w:rsidRDefault="00E52913" w:rsidP="00265711">
      <w:pPr>
        <w:pStyle w:val="Akapitzlist"/>
        <w:spacing w:after="40"/>
        <w:ind w:left="720"/>
        <w:jc w:val="both"/>
        <w:rPr>
          <w:lang w:val="en-GB"/>
        </w:rPr>
      </w:pPr>
      <w:r w:rsidRPr="00BA217B">
        <w:rPr>
          <w:lang w:val="en-GB"/>
        </w:rPr>
        <w:t xml:space="preserve">- </w:t>
      </w:r>
      <w:proofErr w:type="spellStart"/>
      <w:r w:rsidR="003F4ED5" w:rsidRPr="00BA217B">
        <w:rPr>
          <w:lang w:val="en-GB"/>
        </w:rPr>
        <w:t>Taksonomia</w:t>
      </w:r>
      <w:proofErr w:type="spellEnd"/>
      <w:r w:rsidR="003F4ED5" w:rsidRPr="00BA217B">
        <w:rPr>
          <w:lang w:val="en-GB"/>
        </w:rPr>
        <w:t xml:space="preserve"> UE?</w:t>
      </w:r>
    </w:p>
    <w:p w14:paraId="063041D4" w14:textId="09CBD018" w:rsidR="00692B9F" w:rsidRPr="00BA217B" w:rsidRDefault="00E52913" w:rsidP="00265711">
      <w:pPr>
        <w:pStyle w:val="Akapitzlist"/>
        <w:spacing w:after="40"/>
        <w:ind w:left="720"/>
        <w:jc w:val="both"/>
        <w:rPr>
          <w:lang w:val="en-GB"/>
        </w:rPr>
      </w:pPr>
      <w:r w:rsidRPr="00BA217B">
        <w:rPr>
          <w:lang w:val="en-GB"/>
        </w:rPr>
        <w:t xml:space="preserve">- </w:t>
      </w:r>
      <w:r w:rsidR="003F4ED5" w:rsidRPr="00BA217B">
        <w:rPr>
          <w:lang w:val="en-GB"/>
        </w:rPr>
        <w:t>DNSH?</w:t>
      </w:r>
    </w:p>
    <w:p w14:paraId="063041D5" w14:textId="34B03DE8" w:rsidR="00692B9F" w:rsidRPr="00BA217B" w:rsidRDefault="00E52913" w:rsidP="00265711">
      <w:pPr>
        <w:pStyle w:val="Akapitzlist"/>
        <w:spacing w:after="40"/>
        <w:ind w:left="720"/>
        <w:jc w:val="both"/>
        <w:rPr>
          <w:lang w:val="en-GB"/>
        </w:rPr>
      </w:pPr>
      <w:r w:rsidRPr="00BA217B">
        <w:rPr>
          <w:lang w:val="en-GB"/>
        </w:rPr>
        <w:t xml:space="preserve">- </w:t>
      </w:r>
      <w:r w:rsidR="003F4ED5" w:rsidRPr="00BA217B">
        <w:rPr>
          <w:lang w:val="en-GB"/>
        </w:rPr>
        <w:t>ESRS?</w:t>
      </w:r>
    </w:p>
    <w:p w14:paraId="063041D6" w14:textId="09915514" w:rsidR="00692B9F" w:rsidRPr="00BA217B" w:rsidRDefault="00E52913" w:rsidP="00265711">
      <w:pPr>
        <w:pStyle w:val="Akapitzlist"/>
        <w:spacing w:after="40"/>
        <w:ind w:left="720"/>
        <w:jc w:val="both"/>
        <w:rPr>
          <w:lang w:val="en-GB"/>
        </w:rPr>
      </w:pPr>
      <w:r w:rsidRPr="00BA217B">
        <w:rPr>
          <w:lang w:val="en-GB"/>
        </w:rPr>
        <w:t xml:space="preserve">- </w:t>
      </w:r>
      <w:r w:rsidR="003F4ED5" w:rsidRPr="00BA217B">
        <w:rPr>
          <w:lang w:val="en-GB"/>
        </w:rPr>
        <w:t>CRREM?</w:t>
      </w:r>
    </w:p>
    <w:p w14:paraId="063041D7" w14:textId="7D7EF931" w:rsidR="00692B9F" w:rsidRPr="00BA217B" w:rsidRDefault="00E52913" w:rsidP="00265711">
      <w:pPr>
        <w:pStyle w:val="Akapitzlist"/>
        <w:spacing w:after="40"/>
        <w:ind w:left="720"/>
        <w:jc w:val="both"/>
        <w:rPr>
          <w:lang w:val="en-GB"/>
        </w:rPr>
      </w:pPr>
      <w:r w:rsidRPr="00BA217B">
        <w:rPr>
          <w:lang w:val="en-GB"/>
        </w:rPr>
        <w:t xml:space="preserve">- </w:t>
      </w:r>
      <w:r w:rsidR="003F4ED5" w:rsidRPr="00BA217B">
        <w:rPr>
          <w:lang w:val="en-GB"/>
        </w:rPr>
        <w:t>BREEAM?</w:t>
      </w:r>
    </w:p>
    <w:p w14:paraId="063041D8" w14:textId="054962A1" w:rsidR="00692B9F" w:rsidRDefault="00E52913" w:rsidP="00265711">
      <w:pPr>
        <w:pStyle w:val="Akapitzlist"/>
        <w:spacing w:after="40"/>
        <w:ind w:left="720"/>
        <w:jc w:val="both"/>
      </w:pPr>
      <w:r>
        <w:t xml:space="preserve">- </w:t>
      </w:r>
      <w:r w:rsidR="003F4ED5">
        <w:t>LEED?</w:t>
      </w:r>
    </w:p>
    <w:p w14:paraId="063041D9" w14:textId="61A88538" w:rsidR="00692B9F" w:rsidRDefault="00E52913" w:rsidP="00265711">
      <w:pPr>
        <w:pStyle w:val="Akapitzlist"/>
        <w:spacing w:after="40"/>
        <w:ind w:left="720"/>
        <w:jc w:val="both"/>
      </w:pPr>
      <w:r>
        <w:t xml:space="preserve">- </w:t>
      </w:r>
      <w:r w:rsidR="003F4ED5">
        <w:t>analiza śladu węglowego?</w:t>
      </w:r>
    </w:p>
    <w:p w14:paraId="063041DA" w14:textId="6D9777B0" w:rsidR="00692B9F" w:rsidRDefault="00E52913" w:rsidP="00265711">
      <w:pPr>
        <w:pStyle w:val="Akapitzlist"/>
        <w:spacing w:after="180"/>
        <w:ind w:left="720"/>
        <w:jc w:val="both"/>
      </w:pPr>
      <w:r>
        <w:t xml:space="preserve">- </w:t>
      </w:r>
      <w:r w:rsidR="003F4ED5">
        <w:t>analiza klimatyczna?</w:t>
      </w:r>
    </w:p>
    <w:p w14:paraId="158EB705" w14:textId="21052ECE" w:rsidR="0023657A" w:rsidRPr="0023657A" w:rsidRDefault="0023657A" w:rsidP="00265711">
      <w:pPr>
        <w:pStyle w:val="Akapitzlist"/>
        <w:spacing w:after="180"/>
        <w:ind w:left="720"/>
        <w:jc w:val="both"/>
      </w:pPr>
      <w:r w:rsidRPr="00265711">
        <w:rPr>
          <w:b/>
          <w:bCs/>
        </w:rPr>
        <w:t>Odpowiedź:</w:t>
      </w:r>
      <w:r>
        <w:t xml:space="preserve"> </w:t>
      </w:r>
      <w:r w:rsidRPr="0023657A">
        <w:t>Zamawiający oczekuje analizy ESG w zakresie pozwalającym ocenić możliwość pozyskania zielonego finansowania oraz zgodność projektu z wymaganiami instytucji finansujących. Nie jest wymagane przeprowadzenie pełnej analizy zgodności z Taksonomią UE, DNSH, ESRS, CRREM, BREEAM, LEED ani sporządzanie szczegółowych analiz śladu węglowego lub analiz klimatycznych, o ile nie są one niezbędne dla oceny możliwości finansowania projektu</w:t>
      </w:r>
    </w:p>
    <w:p w14:paraId="462DD355" w14:textId="77777777" w:rsidR="0023657A" w:rsidRDefault="0023657A" w:rsidP="00265711">
      <w:pPr>
        <w:pStyle w:val="Akapitzlist"/>
        <w:spacing w:after="180"/>
        <w:ind w:left="720"/>
        <w:jc w:val="both"/>
      </w:pPr>
    </w:p>
    <w:p w14:paraId="063041DB" w14:textId="5EE16682" w:rsidR="00692B9F" w:rsidRDefault="003F4ED5" w:rsidP="00265711">
      <w:pPr>
        <w:pStyle w:val="Akapitzlist"/>
        <w:numPr>
          <w:ilvl w:val="0"/>
          <w:numId w:val="5"/>
        </w:numPr>
        <w:spacing w:after="180" w:line="276" w:lineRule="auto"/>
        <w:jc w:val="both"/>
      </w:pPr>
      <w:r w:rsidRPr="00E52913">
        <w:rPr>
          <w:b/>
          <w:bCs/>
        </w:rPr>
        <w:lastRenderedPageBreak/>
        <w:t xml:space="preserve">Wycena (SPZ pkt 9.1.e) — </w:t>
      </w:r>
      <w:r>
        <w:t xml:space="preserve">Czy </w:t>
      </w:r>
      <w:r w:rsidR="00A3513E">
        <w:t>analiza</w:t>
      </w:r>
      <w:r>
        <w:t xml:space="preserve"> wartości rezydualnej udziałów (pkt 9.1.e) wymaga sporządzenia operatu szacunkowego (uprawnienia rzeczoznawcy majątkowego), czy wystarczające jest podejście dochodowe </w:t>
      </w:r>
      <w:r w:rsidR="00CE01EE" w:rsidRPr="00CE01EE">
        <w:t>i wartość rezydualna udziałów na potrzeby modelu</w:t>
      </w:r>
      <w:r>
        <w:t>?</w:t>
      </w:r>
    </w:p>
    <w:p w14:paraId="43A215A0" w14:textId="4E310DD9" w:rsidR="0023657A" w:rsidRDefault="0023657A" w:rsidP="00265711">
      <w:pPr>
        <w:pStyle w:val="Akapitzlist"/>
        <w:spacing w:after="180" w:line="276" w:lineRule="auto"/>
        <w:ind w:left="720"/>
        <w:jc w:val="both"/>
      </w:pPr>
      <w:r w:rsidRPr="00265711">
        <w:rPr>
          <w:b/>
          <w:bCs/>
        </w:rPr>
        <w:t>Odpowiedź:</w:t>
      </w:r>
      <w:r>
        <w:t xml:space="preserve"> </w:t>
      </w:r>
      <w:r w:rsidRPr="0023657A">
        <w:t>Zakres zamówienia nie obejmuje sporządzenia operatu szacunkowego w rozumieniu przepisów. Wymagana jest analiza dochodowa oraz oszacowanie wartości udziałów i wartości rezydualnej na potrzeby opracowywanego modelu finansowego.</w:t>
      </w:r>
    </w:p>
    <w:p w14:paraId="063041EB" w14:textId="53BB0E27" w:rsidR="00692B9F" w:rsidRDefault="003F4ED5" w:rsidP="00265711">
      <w:pPr>
        <w:pStyle w:val="Akapitzlist"/>
        <w:numPr>
          <w:ilvl w:val="0"/>
          <w:numId w:val="5"/>
        </w:numPr>
        <w:spacing w:after="180" w:line="276" w:lineRule="auto"/>
        <w:jc w:val="both"/>
      </w:pPr>
      <w:r w:rsidRPr="00E52913">
        <w:rPr>
          <w:b/>
          <w:bCs/>
        </w:rPr>
        <w:t xml:space="preserve">Prognoza ŁSSE — </w:t>
      </w:r>
      <w:r>
        <w:t>Czy w ramach Analizy nie jest wymagane sporządzanie prognoz działalności ŁSSE?</w:t>
      </w:r>
    </w:p>
    <w:p w14:paraId="107E821A" w14:textId="5491F2C2" w:rsidR="0023657A" w:rsidRPr="0023657A" w:rsidRDefault="0023657A" w:rsidP="00265711">
      <w:pPr>
        <w:pStyle w:val="Akapitzlist"/>
        <w:spacing w:line="300" w:lineRule="atLeast"/>
        <w:ind w:left="720"/>
        <w:jc w:val="both"/>
        <w:rPr>
          <w:rFonts w:ascii="Segoe UI" w:eastAsia="Times New Roman" w:hAnsi="Segoe UI" w:cs="Segoe UI"/>
          <w:sz w:val="21"/>
          <w:szCs w:val="21"/>
        </w:rPr>
      </w:pPr>
      <w:r w:rsidRPr="00265711">
        <w:rPr>
          <w:b/>
          <w:bCs/>
        </w:rPr>
        <w:t>Odpowiedź:</w:t>
      </w:r>
      <w:r>
        <w:t xml:space="preserve"> </w:t>
      </w:r>
      <w:r w:rsidRPr="0023657A">
        <w:rPr>
          <w:rFonts w:ascii="Segoe UI" w:eastAsia="Times New Roman" w:hAnsi="Segoe UI" w:cs="Segoe UI"/>
          <w:sz w:val="21"/>
          <w:szCs w:val="21"/>
        </w:rPr>
        <w:t>Zamawiający nie wymaga sporządzania prognoz działalności ŁSSE S.A. jako odrębnego podmiotu. Analiza finansowa powinna obejmować ocenę wpływu planowanego zaangażowania kapitałowego na sytuację ekonomiczną ŁSSE S.A. oraz korzyści osiągane z projektu z perspektywy inwestora mniejszościowego.</w:t>
      </w:r>
    </w:p>
    <w:p w14:paraId="4F6BC75D" w14:textId="77777777" w:rsidR="0023657A" w:rsidRDefault="0023657A" w:rsidP="00265711">
      <w:pPr>
        <w:pStyle w:val="Akapitzlist"/>
        <w:spacing w:after="180" w:line="276" w:lineRule="auto"/>
        <w:ind w:left="720"/>
        <w:jc w:val="both"/>
      </w:pPr>
    </w:p>
    <w:p w14:paraId="1AC11F12" w14:textId="4AED10A1" w:rsidR="00134858" w:rsidRDefault="00193BF7" w:rsidP="00265711">
      <w:pPr>
        <w:pStyle w:val="Akapitzlist"/>
        <w:numPr>
          <w:ilvl w:val="0"/>
          <w:numId w:val="5"/>
        </w:numPr>
        <w:spacing w:after="180" w:line="276" w:lineRule="auto"/>
        <w:jc w:val="both"/>
      </w:pPr>
      <w:r w:rsidRPr="00E52913">
        <w:rPr>
          <w:b/>
          <w:bCs/>
        </w:rPr>
        <w:t>Waluta -</w:t>
      </w:r>
      <w:r>
        <w:t xml:space="preserve"> </w:t>
      </w:r>
      <w:r w:rsidR="003A606D">
        <w:t>W jakiej walucie będzie realizowana inwestycja (waluta najmu)?</w:t>
      </w:r>
    </w:p>
    <w:p w14:paraId="452DB146" w14:textId="5BCFB593" w:rsidR="0023657A" w:rsidRPr="0023657A" w:rsidRDefault="0023657A" w:rsidP="00265711">
      <w:pPr>
        <w:pStyle w:val="Akapitzlist"/>
        <w:spacing w:line="300" w:lineRule="atLeast"/>
        <w:ind w:left="720"/>
        <w:jc w:val="both"/>
        <w:rPr>
          <w:rFonts w:ascii="Segoe UI" w:eastAsia="Times New Roman" w:hAnsi="Segoe UI" w:cs="Segoe UI"/>
          <w:sz w:val="21"/>
          <w:szCs w:val="21"/>
        </w:rPr>
      </w:pPr>
      <w:r w:rsidRPr="00265711">
        <w:rPr>
          <w:b/>
          <w:bCs/>
        </w:rPr>
        <w:t>Odpowiedź:</w:t>
      </w:r>
      <w:r>
        <w:t xml:space="preserve"> </w:t>
      </w:r>
      <w:r w:rsidRPr="0023657A">
        <w:rPr>
          <w:rFonts w:ascii="Segoe UI" w:eastAsia="Times New Roman" w:hAnsi="Segoe UI" w:cs="Segoe UI"/>
          <w:sz w:val="21"/>
          <w:szCs w:val="21"/>
        </w:rPr>
        <w:t>Podstawową walutą analiz i modelu finansowego powinien być EUR.</w:t>
      </w:r>
    </w:p>
    <w:p w14:paraId="300CECD5" w14:textId="77777777" w:rsidR="0023657A" w:rsidRDefault="0023657A" w:rsidP="00265711">
      <w:pPr>
        <w:pStyle w:val="Akapitzlist"/>
        <w:spacing w:after="180" w:line="276" w:lineRule="auto"/>
        <w:ind w:left="720"/>
        <w:jc w:val="both"/>
      </w:pPr>
    </w:p>
    <w:p w14:paraId="063041EC" w14:textId="30F0C259" w:rsidR="00692B9F" w:rsidRDefault="003F4ED5" w:rsidP="00265711">
      <w:pPr>
        <w:pStyle w:val="Akapitzlist"/>
        <w:numPr>
          <w:ilvl w:val="0"/>
          <w:numId w:val="5"/>
        </w:numPr>
        <w:spacing w:after="80" w:line="276" w:lineRule="auto"/>
        <w:jc w:val="both"/>
      </w:pPr>
      <w:r w:rsidRPr="00E52913">
        <w:rPr>
          <w:b/>
          <w:bCs/>
        </w:rPr>
        <w:t xml:space="preserve">Zakres oceny technicznej — </w:t>
      </w:r>
      <w:r>
        <w:t>Czy Wykonawca ma:</w:t>
      </w:r>
    </w:p>
    <w:p w14:paraId="063041ED" w14:textId="41272996" w:rsidR="00692B9F" w:rsidRDefault="00E52913" w:rsidP="00265711">
      <w:pPr>
        <w:pStyle w:val="Akapitzlist"/>
        <w:spacing w:after="40"/>
        <w:ind w:left="720"/>
        <w:jc w:val="both"/>
      </w:pPr>
      <w:r>
        <w:t xml:space="preserve">- </w:t>
      </w:r>
      <w:r w:rsidR="003F4ED5">
        <w:t>samodzielnie ocenić rozwiązania techniczne?</w:t>
      </w:r>
    </w:p>
    <w:p w14:paraId="063041EE" w14:textId="5EF7F1B4" w:rsidR="00692B9F" w:rsidRDefault="00E52913" w:rsidP="00265711">
      <w:pPr>
        <w:pStyle w:val="Akapitzlist"/>
        <w:spacing w:after="40"/>
        <w:ind w:left="720"/>
        <w:jc w:val="both"/>
      </w:pPr>
      <w:r>
        <w:t xml:space="preserve">- </w:t>
      </w:r>
      <w:r w:rsidR="003F4ED5">
        <w:t>wykonać audyt?</w:t>
      </w:r>
    </w:p>
    <w:p w14:paraId="063041EF" w14:textId="4F69FE3E" w:rsidR="00692B9F" w:rsidRDefault="00E52913" w:rsidP="00265711">
      <w:pPr>
        <w:pStyle w:val="Akapitzlist"/>
        <w:spacing w:after="40"/>
        <w:ind w:left="720"/>
        <w:jc w:val="both"/>
      </w:pPr>
      <w:r>
        <w:t xml:space="preserve">- </w:t>
      </w:r>
      <w:r w:rsidR="003F4ED5">
        <w:t>zweryfikować kosztorysy?</w:t>
      </w:r>
    </w:p>
    <w:p w14:paraId="063041F0" w14:textId="580885C9" w:rsidR="00692B9F" w:rsidRDefault="00E52913" w:rsidP="00265711">
      <w:pPr>
        <w:pStyle w:val="Akapitzlist"/>
        <w:spacing w:after="40"/>
        <w:ind w:left="720"/>
        <w:jc w:val="both"/>
      </w:pPr>
      <w:r>
        <w:t xml:space="preserve">- </w:t>
      </w:r>
      <w:r w:rsidR="003F4ED5">
        <w:t>ocenić harmonogram?</w:t>
      </w:r>
    </w:p>
    <w:p w14:paraId="063041F1" w14:textId="7E0853C3" w:rsidR="00692B9F" w:rsidRDefault="00E52913" w:rsidP="00265711">
      <w:pPr>
        <w:pStyle w:val="Akapitzlist"/>
        <w:spacing w:after="180"/>
        <w:ind w:left="720"/>
        <w:jc w:val="both"/>
      </w:pPr>
      <w:r>
        <w:t xml:space="preserve">- </w:t>
      </w:r>
      <w:r w:rsidR="003F4ED5">
        <w:t>przeprowadzić Value Engineering?</w:t>
      </w:r>
    </w:p>
    <w:p w14:paraId="0B621028" w14:textId="04CE60B7" w:rsidR="0023657A" w:rsidRPr="0023657A" w:rsidRDefault="0023657A" w:rsidP="00265711">
      <w:pPr>
        <w:pStyle w:val="Akapitzlist"/>
        <w:spacing w:after="180"/>
        <w:ind w:left="720"/>
        <w:jc w:val="both"/>
      </w:pPr>
      <w:r w:rsidRPr="00265711">
        <w:rPr>
          <w:b/>
          <w:bCs/>
        </w:rPr>
        <w:t>Odpowiedź:</w:t>
      </w:r>
      <w:r>
        <w:t xml:space="preserve"> </w:t>
      </w:r>
      <w:r w:rsidRPr="0023657A">
        <w:t>Wykonawca powinien przeprowadzić analizę i ocenę materiałów udostępnionych przez Zamawiającego w zakresie niezbędnym do realizacji przedmiotu zamówienia. Zamawiający nie wymaga formalnego audytu technicznego. Wymagana jest ocena realności przyjętych rozwiązań, kosztów oraz harmonogramu realizacji projektu. Value Engineering nie stanowi odrębnego wymogu</w:t>
      </w:r>
      <w:r>
        <w:t>.</w:t>
      </w:r>
    </w:p>
    <w:p w14:paraId="06256B02" w14:textId="77777777" w:rsidR="0023657A" w:rsidRDefault="0023657A" w:rsidP="00265711">
      <w:pPr>
        <w:pStyle w:val="Akapitzlist"/>
        <w:spacing w:after="180"/>
        <w:ind w:left="720"/>
        <w:jc w:val="both"/>
      </w:pPr>
    </w:p>
    <w:p w14:paraId="063041F2" w14:textId="5A6DAE1B" w:rsidR="00692B9F" w:rsidRDefault="003F4ED5" w:rsidP="00265711">
      <w:pPr>
        <w:pStyle w:val="Akapitzlist"/>
        <w:numPr>
          <w:ilvl w:val="0"/>
          <w:numId w:val="5"/>
        </w:numPr>
        <w:spacing w:after="80" w:line="276" w:lineRule="auto"/>
        <w:jc w:val="both"/>
      </w:pPr>
      <w:r w:rsidRPr="00E52913">
        <w:rPr>
          <w:b/>
          <w:bCs/>
        </w:rPr>
        <w:t xml:space="preserve">Benchmark i budżet CAPEX (SPZ pkt 5) — </w:t>
      </w:r>
      <w:r>
        <w:t>SPZ (pkt 5) wymaga szczegółowej analizy budżetu CAPEX wraz z benchmarkiem kosztów. Prosimy o potwierdzenie:</w:t>
      </w:r>
    </w:p>
    <w:p w14:paraId="063041F3" w14:textId="464F04DC" w:rsidR="00692B9F" w:rsidRDefault="00E52913" w:rsidP="00265711">
      <w:pPr>
        <w:pStyle w:val="Akapitzlist"/>
        <w:spacing w:after="40"/>
        <w:ind w:left="720"/>
        <w:jc w:val="both"/>
      </w:pPr>
      <w:r>
        <w:t xml:space="preserve">- </w:t>
      </w:r>
      <w:r w:rsidR="003F4ED5">
        <w:t>czy istnieje kosztorys inwestorski?</w:t>
      </w:r>
    </w:p>
    <w:p w14:paraId="063041F4" w14:textId="509EDB4F" w:rsidR="00692B9F" w:rsidRDefault="00E52913" w:rsidP="00265711">
      <w:pPr>
        <w:pStyle w:val="Akapitzlist"/>
        <w:spacing w:after="40"/>
        <w:ind w:left="720"/>
        <w:jc w:val="both"/>
      </w:pPr>
      <w:r>
        <w:t xml:space="preserve">- </w:t>
      </w:r>
      <w:r w:rsidR="003F4ED5">
        <w:t>czy istnieją oferty wykonawców?</w:t>
      </w:r>
    </w:p>
    <w:p w14:paraId="063041F5" w14:textId="1803F2E6" w:rsidR="00692B9F" w:rsidRDefault="00E52913" w:rsidP="00265711">
      <w:pPr>
        <w:pStyle w:val="Akapitzlist"/>
        <w:spacing w:after="40"/>
        <w:ind w:left="720"/>
        <w:jc w:val="both"/>
      </w:pPr>
      <w:r>
        <w:t xml:space="preserve">- </w:t>
      </w:r>
      <w:r w:rsidR="003F4ED5">
        <w:t>jaki jest poziom szczegółowości budżetu?</w:t>
      </w:r>
    </w:p>
    <w:p w14:paraId="063041F6" w14:textId="52CDB21B" w:rsidR="00692B9F" w:rsidRDefault="00E52913" w:rsidP="00265711">
      <w:pPr>
        <w:pStyle w:val="Akapitzlist"/>
        <w:spacing w:after="40"/>
        <w:ind w:left="720"/>
        <w:jc w:val="both"/>
      </w:pPr>
      <w:r>
        <w:t xml:space="preserve">- </w:t>
      </w:r>
      <w:r w:rsidR="003F4ED5">
        <w:t>czy należy wykonywać własne kalkulacje?</w:t>
      </w:r>
    </w:p>
    <w:p w14:paraId="063041F7" w14:textId="218A9576" w:rsidR="00692B9F" w:rsidRDefault="00E52913" w:rsidP="00265711">
      <w:pPr>
        <w:pStyle w:val="Akapitzlist"/>
        <w:spacing w:after="180"/>
        <w:ind w:left="720"/>
        <w:jc w:val="both"/>
        <w:rPr>
          <w:u w:val="single"/>
        </w:rPr>
      </w:pPr>
      <w:r>
        <w:rPr>
          <w:u w:val="single"/>
        </w:rPr>
        <w:t xml:space="preserve">- </w:t>
      </w:r>
      <w:r w:rsidR="003F4ED5" w:rsidRPr="00CB7E54">
        <w:rPr>
          <w:u w:val="single"/>
        </w:rPr>
        <w:t>w jakiej formie został przygotowany budżet CAPEX — czy na podstawie KNR i czy jest dostępny w formacie edytowalnym, umożliwiającym weryfikację poszczególnych pozycji (bez sprawdzania przedmiarów)?</w:t>
      </w:r>
    </w:p>
    <w:p w14:paraId="14431CC5" w14:textId="6FFE2022" w:rsidR="0023657A" w:rsidRPr="00265711" w:rsidRDefault="0023657A" w:rsidP="00265711">
      <w:pPr>
        <w:pStyle w:val="Akapitzlist"/>
        <w:spacing w:after="180"/>
        <w:ind w:left="720"/>
        <w:jc w:val="both"/>
      </w:pPr>
      <w:r w:rsidRPr="00265711">
        <w:rPr>
          <w:b/>
          <w:bCs/>
        </w:rPr>
        <w:t>Odpowiedź:</w:t>
      </w:r>
      <w:r w:rsidRPr="00265711">
        <w:t xml:space="preserve"> Wykonawca zobowiązany jest do przeprowadzenia benchmarku kosztów względem porównywalnych projektów </w:t>
      </w:r>
      <w:proofErr w:type="spellStart"/>
      <w:r w:rsidRPr="00265711">
        <w:t>magazynowo-logistycznych</w:t>
      </w:r>
      <w:proofErr w:type="spellEnd"/>
      <w:r w:rsidRPr="00265711">
        <w:t>. Analiza powinna zostać wykonana na podstawie materiałów przekazanych przez Zamawiającego. Celem jest ocena realności i rynkowości założeń kosztowych przyjętych dla inwestycji. Zamawiający nie wymaga sporządzania szczegółowego kosztorysu inwestorskiego. Dokumentacja będąca w posiadaniu Zamawiającego zostanie udostępniona wybranemu Wykonawcy po zawarciu NDA</w:t>
      </w:r>
    </w:p>
    <w:p w14:paraId="148682AA" w14:textId="77777777" w:rsidR="0023657A" w:rsidRPr="00CB7E54" w:rsidRDefault="0023657A" w:rsidP="00265711">
      <w:pPr>
        <w:pStyle w:val="Akapitzlist"/>
        <w:spacing w:after="180"/>
        <w:ind w:left="720"/>
        <w:jc w:val="both"/>
        <w:rPr>
          <w:u w:val="single"/>
        </w:rPr>
      </w:pPr>
    </w:p>
    <w:p w14:paraId="063041F8" w14:textId="513C5DC5" w:rsidR="00692B9F" w:rsidRDefault="003F4ED5" w:rsidP="00265711">
      <w:pPr>
        <w:pStyle w:val="Akapitzlist"/>
        <w:numPr>
          <w:ilvl w:val="0"/>
          <w:numId w:val="5"/>
        </w:numPr>
        <w:spacing w:after="80" w:line="276" w:lineRule="auto"/>
        <w:jc w:val="both"/>
      </w:pPr>
      <w:r w:rsidRPr="00E52913">
        <w:rPr>
          <w:b/>
          <w:bCs/>
        </w:rPr>
        <w:lastRenderedPageBreak/>
        <w:t xml:space="preserve">Analiza ryzyk — </w:t>
      </w:r>
      <w:r>
        <w:t>Czy oczekiwany jest:</w:t>
      </w:r>
    </w:p>
    <w:p w14:paraId="063041F9" w14:textId="7F52B354" w:rsidR="00692B9F" w:rsidRDefault="00E52913" w:rsidP="00265711">
      <w:pPr>
        <w:pStyle w:val="Akapitzlist"/>
        <w:spacing w:after="40"/>
        <w:ind w:left="720"/>
        <w:jc w:val="both"/>
      </w:pPr>
      <w:r>
        <w:t xml:space="preserve">- </w:t>
      </w:r>
      <w:r w:rsidR="003F4ED5">
        <w:t>rejestr ryzyk,</w:t>
      </w:r>
    </w:p>
    <w:p w14:paraId="063041FA" w14:textId="5403DF9F" w:rsidR="00692B9F" w:rsidRDefault="00E52913" w:rsidP="00265711">
      <w:pPr>
        <w:pStyle w:val="Akapitzlist"/>
        <w:spacing w:after="40"/>
        <w:ind w:left="720"/>
        <w:jc w:val="both"/>
      </w:pPr>
      <w:r>
        <w:t xml:space="preserve">- </w:t>
      </w:r>
      <w:r w:rsidR="003F4ED5">
        <w:t>macierz ryzyk,</w:t>
      </w:r>
    </w:p>
    <w:p w14:paraId="063041FB" w14:textId="20164FFC" w:rsidR="00692B9F" w:rsidRDefault="00E52913" w:rsidP="00265711">
      <w:pPr>
        <w:pStyle w:val="Akapitzlist"/>
        <w:spacing w:after="40"/>
        <w:ind w:left="720"/>
        <w:jc w:val="both"/>
      </w:pPr>
      <w:r>
        <w:t xml:space="preserve">- </w:t>
      </w:r>
      <w:r w:rsidR="003F4ED5">
        <w:t>analiza probabilistyczna,</w:t>
      </w:r>
    </w:p>
    <w:p w14:paraId="063041FC" w14:textId="1914299E" w:rsidR="00692B9F" w:rsidRDefault="00E52913" w:rsidP="00265711">
      <w:pPr>
        <w:pStyle w:val="Akapitzlist"/>
        <w:spacing w:after="180"/>
        <w:ind w:left="720"/>
        <w:jc w:val="both"/>
      </w:pPr>
      <w:r>
        <w:t xml:space="preserve">- </w:t>
      </w:r>
      <w:r w:rsidR="003F4ED5">
        <w:t>czy jedynie opis jakościowy?</w:t>
      </w:r>
    </w:p>
    <w:p w14:paraId="157BB32E" w14:textId="5A545322" w:rsidR="00265711" w:rsidRDefault="00265711" w:rsidP="00265711">
      <w:pPr>
        <w:pStyle w:val="Akapitzlist"/>
        <w:spacing w:after="180"/>
        <w:ind w:left="720"/>
        <w:jc w:val="both"/>
      </w:pPr>
      <w:r w:rsidRPr="00265711">
        <w:rPr>
          <w:b/>
          <w:bCs/>
        </w:rPr>
        <w:t>Odpowiedź:</w:t>
      </w:r>
      <w:r w:rsidRPr="00265711">
        <w:t xml:space="preserve"> Analiza </w:t>
      </w:r>
      <w:proofErr w:type="spellStart"/>
      <w:r w:rsidRPr="00265711">
        <w:t>ryzyk</w:t>
      </w:r>
      <w:proofErr w:type="spellEnd"/>
      <w:r w:rsidRPr="00265711">
        <w:t xml:space="preserve"> powinna obejmować identyfikację i ocenę kluczowych </w:t>
      </w:r>
      <w:proofErr w:type="spellStart"/>
      <w:r w:rsidRPr="00265711">
        <w:t>ryzyk</w:t>
      </w:r>
      <w:proofErr w:type="spellEnd"/>
      <w:r w:rsidRPr="00265711">
        <w:t xml:space="preserve"> projektu wraz z rekomendacją działań ograniczających</w:t>
      </w:r>
      <w:r w:rsidR="00A01DC2">
        <w:t xml:space="preserve"> oraz </w:t>
      </w:r>
      <w:proofErr w:type="spellStart"/>
      <w:r w:rsidR="00A01DC2">
        <w:t>ryzyk</w:t>
      </w:r>
      <w:proofErr w:type="spellEnd"/>
      <w:r w:rsidR="00A01DC2">
        <w:t xml:space="preserve"> dla </w:t>
      </w:r>
      <w:proofErr w:type="gramStart"/>
      <w:r w:rsidR="00A01DC2">
        <w:t xml:space="preserve">ŁSSE </w:t>
      </w:r>
      <w:r w:rsidRPr="00265711">
        <w:t>.</w:t>
      </w:r>
      <w:proofErr w:type="gramEnd"/>
      <w:r w:rsidRPr="00265711">
        <w:t xml:space="preserve"> Zamawiający oczekuje co najmniej rejestru </w:t>
      </w:r>
      <w:proofErr w:type="spellStart"/>
      <w:r w:rsidRPr="00265711">
        <w:t>ryzyk</w:t>
      </w:r>
      <w:proofErr w:type="spellEnd"/>
      <w:r w:rsidRPr="00265711">
        <w:t xml:space="preserve"> oraz jakościowej oceny wpływu </w:t>
      </w:r>
      <w:proofErr w:type="spellStart"/>
      <w:r w:rsidRPr="00265711">
        <w:t>ryzyk</w:t>
      </w:r>
      <w:proofErr w:type="spellEnd"/>
      <w:r w:rsidRPr="00265711">
        <w:t xml:space="preserve"> na projekt. </w:t>
      </w:r>
    </w:p>
    <w:p w14:paraId="063041FD" w14:textId="50EDC0A9" w:rsidR="00692B9F" w:rsidRDefault="003F4ED5" w:rsidP="00265711">
      <w:pPr>
        <w:pStyle w:val="Akapitzlist"/>
        <w:numPr>
          <w:ilvl w:val="0"/>
          <w:numId w:val="5"/>
        </w:numPr>
        <w:spacing w:after="80" w:line="276" w:lineRule="auto"/>
        <w:jc w:val="both"/>
      </w:pPr>
      <w:r w:rsidRPr="00E52913">
        <w:rPr>
          <w:b/>
          <w:bCs/>
        </w:rPr>
        <w:t xml:space="preserve">Modele realizacji (SPZ pkt 6) — </w:t>
      </w:r>
      <w:r>
        <w:t xml:space="preserve">SPZ (pkt 6.1) wskazuje katalog formuł realizacyjnych do analizy porównawczej. Prosimy o </w:t>
      </w:r>
      <w:proofErr w:type="gramStart"/>
      <w:r>
        <w:t>potwierdzenie,</w:t>
      </w:r>
      <w:proofErr w:type="gramEnd"/>
      <w:r>
        <w:t xml:space="preserve"> czy analizę należy ograniczyć do poniższego katalogu, czy rozszerzyć o dodatkowe modele (np. EPC, </w:t>
      </w:r>
      <w:proofErr w:type="spellStart"/>
      <w:r>
        <w:t>multi-contracting</w:t>
      </w:r>
      <w:proofErr w:type="spellEnd"/>
      <w:r>
        <w:t xml:space="preserve"> / pakiety branżowe):</w:t>
      </w:r>
    </w:p>
    <w:p w14:paraId="063041FE" w14:textId="76556E36" w:rsidR="00692B9F" w:rsidRDefault="00E52913" w:rsidP="00265711">
      <w:pPr>
        <w:pStyle w:val="Akapitzlist"/>
        <w:spacing w:after="40"/>
        <w:ind w:left="720"/>
        <w:jc w:val="both"/>
      </w:pPr>
      <w:r>
        <w:t xml:space="preserve">- </w:t>
      </w:r>
      <w:r w:rsidR="003F4ED5">
        <w:t xml:space="preserve">„zaprojektuj i wybuduj” (Design &amp; </w:t>
      </w:r>
      <w:proofErr w:type="spellStart"/>
      <w:r w:rsidR="003F4ED5">
        <w:t>Build</w:t>
      </w:r>
      <w:proofErr w:type="spellEnd"/>
      <w:r w:rsidR="003F4ED5">
        <w:t>),</w:t>
      </w:r>
    </w:p>
    <w:p w14:paraId="063041FF" w14:textId="219456F0" w:rsidR="00692B9F" w:rsidRPr="00E52913" w:rsidRDefault="00E52913" w:rsidP="00265711">
      <w:pPr>
        <w:pStyle w:val="Akapitzlist"/>
        <w:spacing w:after="40"/>
        <w:ind w:left="720"/>
        <w:jc w:val="both"/>
        <w:rPr>
          <w:lang w:val="en-GB"/>
        </w:rPr>
      </w:pPr>
      <w:r w:rsidRPr="00E52913">
        <w:rPr>
          <w:lang w:val="en-GB"/>
        </w:rPr>
        <w:t xml:space="preserve">- </w:t>
      </w:r>
      <w:r w:rsidR="003F4ED5" w:rsidRPr="00E52913">
        <w:rPr>
          <w:lang w:val="en-GB"/>
        </w:rPr>
        <w:t>„wybuduj”,</w:t>
      </w:r>
    </w:p>
    <w:p w14:paraId="06304200" w14:textId="74D4D01D" w:rsidR="00692B9F" w:rsidRPr="00BA217B" w:rsidRDefault="00E52913" w:rsidP="00265711">
      <w:pPr>
        <w:pStyle w:val="Akapitzlist"/>
        <w:spacing w:after="40"/>
        <w:ind w:left="720"/>
        <w:jc w:val="both"/>
        <w:rPr>
          <w:lang w:val="en-GB"/>
        </w:rPr>
      </w:pPr>
      <w:r w:rsidRPr="00BA217B">
        <w:rPr>
          <w:lang w:val="en-GB"/>
        </w:rPr>
        <w:t xml:space="preserve"> - </w:t>
      </w:r>
      <w:r w:rsidR="003F4ED5" w:rsidRPr="00BA217B">
        <w:rPr>
          <w:lang w:val="en-GB"/>
        </w:rPr>
        <w:t>construction management / project management,</w:t>
      </w:r>
    </w:p>
    <w:p w14:paraId="06304201" w14:textId="0A65EC4D" w:rsidR="00692B9F" w:rsidRDefault="00E52913" w:rsidP="00265711">
      <w:pPr>
        <w:pStyle w:val="Akapitzlist"/>
        <w:spacing w:after="180"/>
        <w:ind w:left="720"/>
        <w:jc w:val="both"/>
      </w:pPr>
      <w:r w:rsidRPr="00BA217B">
        <w:rPr>
          <w:lang w:val="en-GB"/>
        </w:rPr>
        <w:t xml:space="preserve"> </w:t>
      </w:r>
      <w:r>
        <w:t xml:space="preserve">- </w:t>
      </w:r>
      <w:r w:rsidR="003F4ED5">
        <w:t>inne uzasadnione modele realizacyjne o zbliżonym charakterze.</w:t>
      </w:r>
    </w:p>
    <w:p w14:paraId="71DED539" w14:textId="77777777" w:rsidR="00EF59C2" w:rsidRDefault="00EF59C2" w:rsidP="00265711">
      <w:pPr>
        <w:pStyle w:val="Akapitzlist"/>
        <w:spacing w:after="60" w:line="268" w:lineRule="auto"/>
        <w:ind w:left="1440"/>
        <w:jc w:val="both"/>
      </w:pPr>
      <w:r w:rsidRPr="007011A8">
        <w:t>Czy konieczne są analizy kosztowe dla każdego modelu?</w:t>
      </w:r>
    </w:p>
    <w:p w14:paraId="6AA43378" w14:textId="700614EB" w:rsidR="00265711" w:rsidRPr="00265711" w:rsidRDefault="00265711" w:rsidP="00265711">
      <w:pPr>
        <w:spacing w:after="60" w:line="268" w:lineRule="auto"/>
        <w:ind w:left="709"/>
        <w:jc w:val="both"/>
      </w:pPr>
      <w:r w:rsidRPr="00265711">
        <w:rPr>
          <w:b/>
          <w:bCs/>
        </w:rPr>
        <w:t>Odpowiedź:</w:t>
      </w:r>
      <w:r w:rsidRPr="00265711">
        <w:t xml:space="preserve"> Analiza powinna obejmować co najmniej modele wskazane w SPZ, tj. „zaprojektuj i wybuduj”, „wybuduj”, </w:t>
      </w:r>
      <w:proofErr w:type="spellStart"/>
      <w:r w:rsidRPr="00265711">
        <w:t>construction</w:t>
      </w:r>
      <w:proofErr w:type="spellEnd"/>
      <w:r w:rsidRPr="00265711">
        <w:t xml:space="preserve"> management/</w:t>
      </w:r>
      <w:proofErr w:type="spellStart"/>
      <w:r w:rsidRPr="00265711">
        <w:t>project</w:t>
      </w:r>
      <w:proofErr w:type="spellEnd"/>
      <w:r w:rsidRPr="00265711">
        <w:t xml:space="preserve"> management. </w:t>
      </w:r>
    </w:p>
    <w:p w14:paraId="3857716A" w14:textId="0256ADE8" w:rsidR="00265711" w:rsidRPr="00265711" w:rsidRDefault="00265711" w:rsidP="00265711">
      <w:pPr>
        <w:spacing w:after="60" w:line="268" w:lineRule="auto"/>
        <w:ind w:left="709"/>
        <w:jc w:val="both"/>
      </w:pPr>
      <w:r w:rsidRPr="00265711">
        <w:rPr>
          <w:b/>
          <w:bCs/>
        </w:rPr>
        <w:t>Czy konieczne są analizy kosztowe dla każdego modelu?</w:t>
      </w:r>
      <w:r w:rsidRPr="00265711">
        <w:t xml:space="preserve"> Analiza porównawcza powinna obejmować wpływ poszczególnych modeli realizacyjnych na koszty inwestycji, harmonogram oraz profil </w:t>
      </w:r>
      <w:proofErr w:type="spellStart"/>
      <w:r w:rsidRPr="00265711">
        <w:t>ryzyk</w:t>
      </w:r>
      <w:proofErr w:type="spellEnd"/>
      <w:r w:rsidRPr="00265711">
        <w:t xml:space="preserve"> projektu w zakresie pozwalającym na wskazanie rekomendowanego wariantu realizacji</w:t>
      </w:r>
    </w:p>
    <w:p w14:paraId="3D1402E2" w14:textId="0DA6BBCA" w:rsidR="00265711" w:rsidRDefault="00265711" w:rsidP="00265711">
      <w:pPr>
        <w:spacing w:after="60" w:line="268" w:lineRule="auto"/>
        <w:jc w:val="both"/>
      </w:pPr>
    </w:p>
    <w:p w14:paraId="73EDA94F" w14:textId="2F3B8EDE" w:rsidR="00CA103E" w:rsidRDefault="00CA103E" w:rsidP="00265711">
      <w:pPr>
        <w:pStyle w:val="Akapitzlist"/>
        <w:numPr>
          <w:ilvl w:val="0"/>
          <w:numId w:val="5"/>
        </w:numPr>
        <w:spacing w:after="180" w:line="276" w:lineRule="auto"/>
        <w:jc w:val="both"/>
      </w:pPr>
      <w:r w:rsidRPr="00E52913">
        <w:rPr>
          <w:b/>
          <w:bCs/>
        </w:rPr>
        <w:t xml:space="preserve">Zwrot vs. archiwizacja (NDA §1.22) — </w:t>
      </w:r>
      <w:r>
        <w:t>Czy obowiązek usunięcia/zwrotu Informacji Poufnych po realizacji pozwala Wykonawcy zachować zabezpieczoną kopię archiwalną wyłącznie na potrzeby obrony przed roszczeniami oraz wypełnienia obowiązków zawodowych i ubezpieczeniowych?</w:t>
      </w:r>
    </w:p>
    <w:p w14:paraId="2DB56D4F" w14:textId="525A5C98" w:rsidR="00CA103E" w:rsidRDefault="00265711" w:rsidP="00265711">
      <w:pPr>
        <w:pStyle w:val="Akapitzlist"/>
        <w:spacing w:after="180"/>
        <w:ind w:left="720"/>
        <w:jc w:val="both"/>
      </w:pPr>
      <w:r w:rsidRPr="00265711">
        <w:rPr>
          <w:b/>
          <w:bCs/>
        </w:rPr>
        <w:t xml:space="preserve">Odpowiedź: </w:t>
      </w:r>
      <w:r>
        <w:t>Zgodnie z zapisami NDA</w:t>
      </w:r>
      <w:r w:rsidR="00A01DC2">
        <w:t>.</w:t>
      </w:r>
    </w:p>
    <w:sectPr w:rsidR="00CA103E">
      <w:pgSz w:w="11906" w:h="16838"/>
      <w:pgMar w:top="1000" w:right="1200" w:bottom="1000" w:left="12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6E55"/>
    <w:multiLevelType w:val="hybridMultilevel"/>
    <w:tmpl w:val="EFB22742"/>
    <w:lvl w:ilvl="0" w:tplc="7F0A3A92">
      <w:start w:val="1"/>
      <w:numFmt w:val="bullet"/>
      <w:lvlText w:val="●"/>
      <w:lvlJc w:val="left"/>
      <w:pPr>
        <w:ind w:left="720" w:hanging="360"/>
      </w:pPr>
    </w:lvl>
    <w:lvl w:ilvl="1" w:tplc="3C866FF4">
      <w:start w:val="1"/>
      <w:numFmt w:val="bullet"/>
      <w:lvlText w:val="○"/>
      <w:lvlJc w:val="left"/>
      <w:pPr>
        <w:ind w:left="1440" w:hanging="360"/>
      </w:pPr>
    </w:lvl>
    <w:lvl w:ilvl="2" w:tplc="72EC21FA">
      <w:start w:val="1"/>
      <w:numFmt w:val="bullet"/>
      <w:lvlText w:val="■"/>
      <w:lvlJc w:val="left"/>
      <w:pPr>
        <w:ind w:left="2160" w:hanging="360"/>
      </w:pPr>
    </w:lvl>
    <w:lvl w:ilvl="3" w:tplc="FB7C6948">
      <w:start w:val="1"/>
      <w:numFmt w:val="bullet"/>
      <w:lvlText w:val="●"/>
      <w:lvlJc w:val="left"/>
      <w:pPr>
        <w:ind w:left="2880" w:hanging="360"/>
      </w:pPr>
    </w:lvl>
    <w:lvl w:ilvl="4" w:tplc="6FCE9066">
      <w:start w:val="1"/>
      <w:numFmt w:val="bullet"/>
      <w:lvlText w:val="○"/>
      <w:lvlJc w:val="left"/>
      <w:pPr>
        <w:ind w:left="3600" w:hanging="360"/>
      </w:pPr>
    </w:lvl>
    <w:lvl w:ilvl="5" w:tplc="2F7402D6">
      <w:start w:val="1"/>
      <w:numFmt w:val="bullet"/>
      <w:lvlText w:val="■"/>
      <w:lvlJc w:val="left"/>
      <w:pPr>
        <w:ind w:left="4320" w:hanging="360"/>
      </w:pPr>
    </w:lvl>
    <w:lvl w:ilvl="6" w:tplc="3D3A4CF8">
      <w:start w:val="1"/>
      <w:numFmt w:val="bullet"/>
      <w:lvlText w:val="●"/>
      <w:lvlJc w:val="left"/>
      <w:pPr>
        <w:ind w:left="5040" w:hanging="360"/>
      </w:pPr>
    </w:lvl>
    <w:lvl w:ilvl="7" w:tplc="1F16DC48">
      <w:start w:val="1"/>
      <w:numFmt w:val="bullet"/>
      <w:lvlText w:val="●"/>
      <w:lvlJc w:val="left"/>
      <w:pPr>
        <w:ind w:left="5760" w:hanging="360"/>
      </w:pPr>
    </w:lvl>
    <w:lvl w:ilvl="8" w:tplc="547C71C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45F72C0"/>
    <w:multiLevelType w:val="hybridMultilevel"/>
    <w:tmpl w:val="F370B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576A2"/>
    <w:multiLevelType w:val="hybridMultilevel"/>
    <w:tmpl w:val="0D549B9A"/>
    <w:lvl w:ilvl="0" w:tplc="F620D806">
      <w:start w:val="1"/>
      <w:numFmt w:val="bullet"/>
      <w:lvlText w:val="–"/>
      <w:lvlJc w:val="left"/>
      <w:pPr>
        <w:ind w:left="720" w:hanging="360"/>
      </w:pPr>
    </w:lvl>
    <w:lvl w:ilvl="1" w:tplc="E2CA1986">
      <w:numFmt w:val="decimal"/>
      <w:lvlText w:val=""/>
      <w:lvlJc w:val="left"/>
    </w:lvl>
    <w:lvl w:ilvl="2" w:tplc="7BDAC4D4">
      <w:numFmt w:val="decimal"/>
      <w:lvlText w:val=""/>
      <w:lvlJc w:val="left"/>
    </w:lvl>
    <w:lvl w:ilvl="3" w:tplc="89A283DC">
      <w:numFmt w:val="decimal"/>
      <w:lvlText w:val=""/>
      <w:lvlJc w:val="left"/>
    </w:lvl>
    <w:lvl w:ilvl="4" w:tplc="FE70B400">
      <w:numFmt w:val="decimal"/>
      <w:lvlText w:val=""/>
      <w:lvlJc w:val="left"/>
    </w:lvl>
    <w:lvl w:ilvl="5" w:tplc="0ED20336">
      <w:numFmt w:val="decimal"/>
      <w:lvlText w:val=""/>
      <w:lvlJc w:val="left"/>
    </w:lvl>
    <w:lvl w:ilvl="6" w:tplc="7E006AA0">
      <w:numFmt w:val="decimal"/>
      <w:lvlText w:val=""/>
      <w:lvlJc w:val="left"/>
    </w:lvl>
    <w:lvl w:ilvl="7" w:tplc="0338B5A8">
      <w:numFmt w:val="decimal"/>
      <w:lvlText w:val=""/>
      <w:lvlJc w:val="left"/>
    </w:lvl>
    <w:lvl w:ilvl="8" w:tplc="70D28A98">
      <w:numFmt w:val="decimal"/>
      <w:lvlText w:val=""/>
      <w:lvlJc w:val="left"/>
    </w:lvl>
  </w:abstractNum>
  <w:abstractNum w:abstractNumId="3" w15:restartNumberingAfterBreak="0">
    <w:nsid w:val="512C5A2B"/>
    <w:multiLevelType w:val="hybridMultilevel"/>
    <w:tmpl w:val="9FF4D24C"/>
    <w:lvl w:ilvl="0" w:tplc="19F2D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825B7"/>
    <w:multiLevelType w:val="multilevel"/>
    <w:tmpl w:val="08005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681902"/>
    <w:multiLevelType w:val="hybridMultilevel"/>
    <w:tmpl w:val="4FC8275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2631603">
    <w:abstractNumId w:val="0"/>
    <w:lvlOverride w:ilvl="0">
      <w:startOverride w:val="1"/>
    </w:lvlOverride>
  </w:num>
  <w:num w:numId="2" w16cid:durableId="1345014961">
    <w:abstractNumId w:val="2"/>
    <w:lvlOverride w:ilvl="0">
      <w:startOverride w:val="1"/>
    </w:lvlOverride>
  </w:num>
  <w:num w:numId="3" w16cid:durableId="20128148">
    <w:abstractNumId w:val="5"/>
  </w:num>
  <w:num w:numId="4" w16cid:durableId="925961999">
    <w:abstractNumId w:val="4"/>
  </w:num>
  <w:num w:numId="5" w16cid:durableId="1097671391">
    <w:abstractNumId w:val="1"/>
  </w:num>
  <w:num w:numId="6" w16cid:durableId="10372420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B9F"/>
    <w:rsid w:val="00061AA6"/>
    <w:rsid w:val="000A6A92"/>
    <w:rsid w:val="000D04CF"/>
    <w:rsid w:val="00134858"/>
    <w:rsid w:val="00193BF7"/>
    <w:rsid w:val="001C42F7"/>
    <w:rsid w:val="0023657A"/>
    <w:rsid w:val="00265711"/>
    <w:rsid w:val="002A565B"/>
    <w:rsid w:val="002B6B5E"/>
    <w:rsid w:val="003071B3"/>
    <w:rsid w:val="003A606D"/>
    <w:rsid w:val="003F4ED5"/>
    <w:rsid w:val="00415F55"/>
    <w:rsid w:val="004234BA"/>
    <w:rsid w:val="00510E69"/>
    <w:rsid w:val="00692B9F"/>
    <w:rsid w:val="009A23F0"/>
    <w:rsid w:val="009F2F19"/>
    <w:rsid w:val="00A01DC2"/>
    <w:rsid w:val="00A12F7D"/>
    <w:rsid w:val="00A3513E"/>
    <w:rsid w:val="00BA217B"/>
    <w:rsid w:val="00BC40E0"/>
    <w:rsid w:val="00CA103E"/>
    <w:rsid w:val="00CB7E54"/>
    <w:rsid w:val="00CE01EE"/>
    <w:rsid w:val="00D455C6"/>
    <w:rsid w:val="00D76C74"/>
    <w:rsid w:val="00E30022"/>
    <w:rsid w:val="00E4561C"/>
    <w:rsid w:val="00E476CA"/>
    <w:rsid w:val="00E52913"/>
    <w:rsid w:val="00EF59C2"/>
    <w:rsid w:val="00F55481"/>
    <w:rsid w:val="00F6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41CE"/>
  <w15:docId w15:val="{93D65AAC-FA80-421B-8FF0-13B07B6DA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265711"/>
    <w:rPr>
      <w:rFonts w:ascii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5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3A9FD3092E94886D983902780688F" ma:contentTypeVersion="15" ma:contentTypeDescription="Create a new document." ma:contentTypeScope="" ma:versionID="bc44e5a046e790cb018574c1d9b06cfa">
  <xsd:schema xmlns:xsd="http://www.w3.org/2001/XMLSchema" xmlns:xs="http://www.w3.org/2001/XMLSchema" xmlns:p="http://schemas.microsoft.com/office/2006/metadata/properties" xmlns:ns2="9fda4007-9837-4aa7-a4d6-bd66a77737a2" xmlns:ns3="59a8c9e9-a211-46c9-9662-a1d9cebf169d" targetNamespace="http://schemas.microsoft.com/office/2006/metadata/properties" ma:root="true" ma:fieldsID="8f3e1979632a793028ed81b4c3195225" ns2:_="" ns3:_="">
    <xsd:import namespace="9fda4007-9837-4aa7-a4d6-bd66a77737a2"/>
    <xsd:import namespace="59a8c9e9-a211-46c9-9662-a1d9cebf169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a4007-9837-4aa7-a4d6-bd66a77737a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fefab83-afd2-41f8-8baa-57fcc0e8b6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8c9e9-a211-46c9-9662-a1d9cebf169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8edf978-c214-45e1-96f1-72a92e458a6a}" ma:internalName="TaxCatchAll" ma:showField="CatchAllData" ma:web="59a8c9e9-a211-46c9-9662-a1d9cebf16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a8c9e9-a211-46c9-9662-a1d9cebf169d" xsi:nil="true"/>
    <lcf76f155ced4ddcb4097134ff3c332f xmlns="9fda4007-9837-4aa7-a4d6-bd66a77737a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CBE68E-7809-4C46-AA4B-5328F21D1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da4007-9837-4aa7-a4d6-bd66a77737a2"/>
    <ds:schemaRef ds:uri="59a8c9e9-a211-46c9-9662-a1d9cebf16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CEEF01-B42D-4359-BCBC-95C172CC8D33}">
  <ds:schemaRefs>
    <ds:schemaRef ds:uri="http://schemas.microsoft.com/office/2006/metadata/properties"/>
    <ds:schemaRef ds:uri="http://schemas.microsoft.com/office/infopath/2007/PartnerControls"/>
    <ds:schemaRef ds:uri="59a8c9e9-a211-46c9-9662-a1d9cebf169d"/>
    <ds:schemaRef ds:uri="9fda4007-9837-4aa7-a4d6-bd66a77737a2"/>
  </ds:schemaRefs>
</ds:datastoreItem>
</file>

<file path=customXml/itemProps3.xml><?xml version="1.0" encoding="utf-8"?>
<ds:datastoreItem xmlns:ds="http://schemas.openxmlformats.org/officeDocument/2006/customXml" ds:itemID="{221283DD-571B-47B5-95BA-2C27AB2A6B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922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Rafał Wolniewicz</cp:lastModifiedBy>
  <cp:revision>2</cp:revision>
  <dcterms:created xsi:type="dcterms:W3CDTF">2026-09-03T15:56:00Z</dcterms:created>
  <dcterms:modified xsi:type="dcterms:W3CDTF">2026-09-03T15:56:00Z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0x010100D893A9FD3092E94886D983902780688F</vt:lpwstr>
  </property>
  <property fmtid="{D5CDD505-2E9C-101B-9397-08002B2CF9AE}" pid="3" name="MediaServiceImageTags">
    <vt:lpwstr/>
  </property>
</Properties>
</file>